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’Times New Roman’" w:hAnsi="’Times New Roman’" w:eastAsia="宋体" w:cs="’Times New Roman’"/>
          <w:b/>
          <w:bCs/>
          <w:sz w:val="32"/>
          <w:szCs w:val="28"/>
        </w:rPr>
      </w:pPr>
      <w:bookmarkStart w:id="0" w:name="_GoBack"/>
      <w:r>
        <w:rPr>
          <w:rFonts w:hint="eastAsia" w:ascii="’Times New Roman’" w:hAnsi="’Times New Roman’" w:eastAsia="宋体" w:cs="’Times New Roman’"/>
          <w:b/>
          <w:bCs/>
          <w:sz w:val="32"/>
          <w:szCs w:val="28"/>
          <w:lang w:val="en-US" w:eastAsia="zh-CN"/>
        </w:rPr>
        <w:t>附件一：</w:t>
      </w:r>
      <w:r>
        <w:rPr>
          <w:rFonts w:hint="eastAsia" w:ascii="’Times New Roman’" w:hAnsi="’Times New Roman’" w:eastAsia="宋体" w:cs="’Times New Roman’"/>
          <w:b/>
          <w:bCs/>
          <w:sz w:val="32"/>
          <w:szCs w:val="28"/>
        </w:rPr>
        <w:t>报价单</w:t>
      </w:r>
    </w:p>
    <w:bookmarkEnd w:id="0"/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898" w:tblpY="339"/>
        <w:tblOverlap w:val="never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252"/>
        <w:gridCol w:w="1770"/>
        <w:gridCol w:w="1405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服务内容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服务人数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服务价格标准（元/小时）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服务小时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价格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单位：元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编制发债收益与融资自求平衡财务咨询报告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份；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协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助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完成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发行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前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、发行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、发行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后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相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关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信息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披露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总价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Times New Roman"/>
          <w:sz w:val="24"/>
          <w:szCs w:val="24"/>
        </w:rPr>
      </w:pPr>
    </w:p>
    <w:p/>
    <w:p/>
    <w:sectPr>
      <w:pgSz w:w="11906" w:h="16838"/>
      <w:pgMar w:top="851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IwM2I4N2QxMTg2MDQ4NmVhZTU1NWE2YTYzZTcifQ=="/>
  </w:docVars>
  <w:rsids>
    <w:rsidRoot w:val="683A50B5"/>
    <w:rsid w:val="683A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2024-01-19T09:59:00Z</dcterms:created>
  <dc:creator>梁上绿萝</dc:creator>
  <cp:lastModifiedBy>梁上绿萝</cp:lastModifiedBy>
  <dcterms:modified xsi:type="dcterms:W3CDTF">2024-01-19T09:59:38Z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2EC1BA7CB3224AAE93ECB028FB0FDA12_11</vt:lpwstr>
  </property>
</Properties>
</file>