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3"/>
        <w:tblW w:w="10695" w:type="dxa"/>
        <w:tblInd w:w="-9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20"/>
        <w:gridCol w:w="2850"/>
        <w:gridCol w:w="1350"/>
        <w:gridCol w:w="810"/>
        <w:gridCol w:w="1080"/>
        <w:gridCol w:w="1415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前海深港青年梦工场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“深港融合再加速”香港招商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推介活动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服务项目报价单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前海深港青年梦工场“深港融合再加速”香港招商推介活动服务项目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活动策划方案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一份活动方案，内容包含活动主题、活动时间地点、活动形式、参会人数、活动议程等。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平面设计延展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活动整体物料设计。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场地租赁；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活动桌椅、签约台租赁；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指引水牌及活动易拉宝；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签约仪式物料；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专业摆台服务包含台卡、纸、笔、矿泉水、签约桌含布草，可选色白色、蓝色、红色。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活动设备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LED视频设备；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麦克风、扬声器；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灯光；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总控设备；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全程摄影。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活动人员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嘉宾；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设备场控；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现场工作人员。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4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香港商报、深圳特区报等官媒线上线下宣发及私域宣传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摄影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  <w:t>全程现场拍摄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  <w:t>茶歇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  <w:t>定制茶点饮品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vertAlign w:val="baseline"/>
                <w:lang w:val="en-US" w:eastAsia="zh-CN"/>
              </w:rPr>
              <w:t>物料运输及搬运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0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不含税总价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0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税费（ %）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0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含税总价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以上费用含国家法定增值税税费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，税率及税额以税务政策规定为准。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提供增值税专用发票。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B2CF3"/>
    <w:multiLevelType w:val="singleLevel"/>
    <w:tmpl w:val="9C7B2CF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F8E06C3"/>
    <w:multiLevelType w:val="singleLevel"/>
    <w:tmpl w:val="DF8E06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D2CA80A"/>
    <w:multiLevelType w:val="singleLevel"/>
    <w:tmpl w:val="3D2CA8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2I2ZDYwOTNjMzU4N2EyYmY1NDIxM2JlZWJhZTEifQ=="/>
  </w:docVars>
  <w:rsids>
    <w:rsidRoot w:val="00000000"/>
    <w:rsid w:val="71CA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2024-03-26T07:52:41Z</dcterms:created>
  <dc:creator>10051</dc:creator>
  <cp:lastModifiedBy>Mr.F</cp:lastModifiedBy>
  <dcterms:modified xsi:type="dcterms:W3CDTF">2024-03-26T08:23:22Z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3533CD4E2E144D9B8910DCE294D31936_12</vt:lpwstr>
  </property>
</Properties>
</file>