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二元桥（东方嘉盛）项目品质提升工程项目-</w:t>
            </w:r>
            <w:bookmarkStart w:id="0" w:name="_GoBack"/>
            <w:r>
              <w:rPr>
                <w:rFonts w:hint="eastAsia" w:ascii="仿宋" w:hAnsi="仿宋" w:eastAsia="仿宋" w:cs="仿宋"/>
                <w:b/>
                <w:bCs/>
                <w:i w:val="0"/>
                <w:iCs w:val="0"/>
                <w:color w:val="000000"/>
                <w:kern w:val="0"/>
                <w:sz w:val="32"/>
                <w:szCs w:val="32"/>
                <w:u w:val="none"/>
                <w:lang w:val="en-US" w:eastAsia="zh-CN" w:bidi="ar"/>
              </w:rPr>
              <w:t>报价</w:t>
            </w:r>
            <w:bookmarkEnd w:id="0"/>
            <w:r>
              <w:rPr>
                <w:rFonts w:hint="eastAsia" w:ascii="仿宋" w:hAnsi="仿宋" w:eastAsia="仿宋" w:cs="仿宋"/>
                <w:b/>
                <w:bCs/>
                <w:i w:val="0"/>
                <w:iCs w:val="0"/>
                <w:color w:val="000000"/>
                <w:kern w:val="0"/>
                <w:sz w:val="32"/>
                <w:szCs w:val="32"/>
                <w:u w:val="none"/>
                <w:lang w:val="en-US" w:eastAsia="zh-CN" w:bidi="ar"/>
              </w:rPr>
              <w:t>单</w:t>
            </w:r>
          </w:p>
        </w:tc>
      </w:tr>
    </w:tbl>
    <w:p/>
    <w:tbl>
      <w:tblPr>
        <w:tblStyle w:val="3"/>
        <w:tblW w:w="88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
                <w:sz w:val="22"/>
                <w:szCs w:val="22"/>
                <w:lang w:val="en-US" w:eastAsia="zh-CN" w:bidi="ar"/>
              </w:rPr>
              <w:t>工程名称：二元桥（东方嘉盛）项目品质提升工程项目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
                <w:sz w:val="22"/>
                <w:szCs w:val="22"/>
                <w:lang w:val="en-US" w:eastAsia="zh-CN" w:bidi="ar"/>
              </w:rPr>
              <w:t>工程地址：广东省深圳市南山区南山街道航海路1092号招商物流集团有限公司西南门</w:t>
            </w:r>
          </w:p>
        </w:tc>
      </w:tr>
    </w:tbl>
    <w:tbl>
      <w:tblPr>
        <w:tblStyle w:val="3"/>
        <w:tblpPr w:leftFromText="180" w:rightFromText="180" w:vertAnchor="text" w:horzAnchor="page" w:tblpX="564" w:tblpY="612"/>
        <w:tblOverlap w:val="never"/>
        <w:tblW w:w="10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266"/>
        <w:gridCol w:w="2636"/>
        <w:gridCol w:w="796"/>
        <w:gridCol w:w="1080"/>
        <w:gridCol w:w="1172"/>
        <w:gridCol w:w="1380"/>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子目名称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C00000"/>
                <w:sz w:val="20"/>
                <w:szCs w:val="20"/>
                <w:u w:val="none"/>
              </w:rPr>
            </w:pPr>
            <w:r>
              <w:rPr>
                <w:rFonts w:hint="eastAsia" w:ascii="宋体" w:hAnsi="宋体" w:eastAsia="宋体" w:cs="宋体"/>
                <w:b/>
                <w:bCs/>
                <w:i w:val="0"/>
                <w:iCs w:val="0"/>
                <w:color w:val="C00000"/>
                <w:kern w:val="0"/>
                <w:sz w:val="20"/>
                <w:szCs w:val="20"/>
                <w:u w:val="none"/>
                <w:lang w:val="en-US" w:eastAsia="zh-CN" w:bidi="ar"/>
              </w:rPr>
              <w:t>1</w:t>
            </w:r>
          </w:p>
        </w:tc>
        <w:tc>
          <w:tcPr>
            <w:tcW w:w="7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C00000"/>
                <w:sz w:val="22"/>
                <w:szCs w:val="22"/>
                <w:u w:val="none"/>
              </w:rPr>
            </w:pPr>
            <w:r>
              <w:rPr>
                <w:rFonts w:hint="eastAsia" w:ascii="宋体" w:hAnsi="宋体" w:eastAsia="宋体" w:cs="宋体"/>
                <w:b/>
                <w:bCs/>
                <w:i w:val="0"/>
                <w:iCs w:val="0"/>
                <w:color w:val="C00000"/>
                <w:kern w:val="0"/>
                <w:sz w:val="22"/>
                <w:szCs w:val="22"/>
                <w:u w:val="none"/>
                <w:lang w:val="en-US" w:eastAsia="zh-CN" w:bidi="ar"/>
              </w:rPr>
              <w:t>维修护拦部分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C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拆除破损的护拦</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材料：立柱</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50*50*1500mm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材料：横竿</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30*30*3000mm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材料：护拦</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16*16*1720mm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金属面油漆</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除锈油漆、氟碳喷涂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安装护拦</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C00000"/>
                <w:sz w:val="20"/>
                <w:szCs w:val="20"/>
                <w:u w:val="none"/>
              </w:rPr>
            </w:pPr>
            <w:r>
              <w:rPr>
                <w:rFonts w:hint="eastAsia" w:ascii="宋体" w:hAnsi="宋体" w:eastAsia="宋体" w:cs="宋体"/>
                <w:b/>
                <w:bCs/>
                <w:i w:val="0"/>
                <w:iCs w:val="0"/>
                <w:color w:val="C00000"/>
                <w:kern w:val="0"/>
                <w:sz w:val="20"/>
                <w:szCs w:val="20"/>
                <w:u w:val="none"/>
                <w:lang w:val="en-US" w:eastAsia="zh-CN" w:bidi="ar"/>
              </w:rPr>
              <w:t>2</w:t>
            </w:r>
          </w:p>
        </w:tc>
        <w:tc>
          <w:tcPr>
            <w:tcW w:w="7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C00000"/>
                <w:kern w:val="0"/>
                <w:sz w:val="22"/>
                <w:szCs w:val="22"/>
                <w:u w:val="none"/>
                <w:lang w:val="en-US" w:eastAsia="zh-CN" w:bidi="ar"/>
              </w:rPr>
              <w:t>新建护拦部分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拆除现状不同种类护拦</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成品栅栏安装</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35*1.72=60.2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金属面油漆</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除锈油漆、氟碳喷涂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拆除旧围墙水泥抹灰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废渣外运</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人工装废料自卸汽车运</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旧围墙贴瓷砖</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(疏缝) 水泥砂浆粘贴</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C00000"/>
                <w:sz w:val="20"/>
                <w:szCs w:val="20"/>
                <w:u w:val="none"/>
              </w:rPr>
            </w:pPr>
            <w:r>
              <w:rPr>
                <w:rFonts w:hint="eastAsia" w:ascii="宋体" w:hAnsi="宋体" w:eastAsia="宋体" w:cs="宋体"/>
                <w:b/>
                <w:bCs/>
                <w:i w:val="0"/>
                <w:iCs w:val="0"/>
                <w:color w:val="C00000"/>
                <w:kern w:val="0"/>
                <w:sz w:val="20"/>
                <w:szCs w:val="20"/>
                <w:u w:val="none"/>
                <w:lang w:val="en-US" w:eastAsia="zh-CN" w:bidi="ar"/>
              </w:rPr>
              <w:t>3</w:t>
            </w:r>
          </w:p>
        </w:tc>
        <w:tc>
          <w:tcPr>
            <w:tcW w:w="7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C00000"/>
                <w:kern w:val="0"/>
                <w:sz w:val="22"/>
                <w:szCs w:val="22"/>
                <w:u w:val="none"/>
                <w:lang w:val="en-US" w:eastAsia="zh-CN" w:bidi="ar"/>
              </w:rPr>
              <w:t>绿化部分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挖树根(蔸)</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径20cm以内，含清运</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整理绿化用地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绿化地平整</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铺种草皮</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满铺</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时花</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C00000"/>
                <w:sz w:val="20"/>
                <w:szCs w:val="20"/>
                <w:u w:val="none"/>
              </w:rPr>
            </w:pPr>
            <w:r>
              <w:rPr>
                <w:rFonts w:hint="eastAsia" w:ascii="宋体" w:hAnsi="宋体" w:eastAsia="宋体" w:cs="宋体"/>
                <w:b/>
                <w:bCs/>
                <w:i w:val="0"/>
                <w:iCs w:val="0"/>
                <w:color w:val="C00000"/>
                <w:kern w:val="0"/>
                <w:sz w:val="20"/>
                <w:szCs w:val="20"/>
                <w:u w:val="none"/>
                <w:lang w:val="en-US" w:eastAsia="zh-CN" w:bidi="ar"/>
              </w:rPr>
              <w:t>4</w:t>
            </w:r>
          </w:p>
        </w:tc>
        <w:tc>
          <w:tcPr>
            <w:tcW w:w="7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C00000"/>
                <w:sz w:val="22"/>
                <w:szCs w:val="22"/>
                <w:u w:val="none"/>
              </w:rPr>
            </w:pPr>
            <w:r>
              <w:rPr>
                <w:rFonts w:hint="eastAsia" w:ascii="宋体" w:hAnsi="宋体" w:eastAsia="宋体" w:cs="宋体"/>
                <w:b/>
                <w:bCs/>
                <w:i w:val="0"/>
                <w:iCs w:val="0"/>
                <w:color w:val="C00000"/>
                <w:kern w:val="0"/>
                <w:sz w:val="22"/>
                <w:szCs w:val="22"/>
                <w:u w:val="none"/>
                <w:lang w:val="en-US" w:eastAsia="zh-CN" w:bidi="ar"/>
              </w:rPr>
              <w:t>抹灰部分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立面抹灰层拆除</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墙面抹灰铲除</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天棚抹灰面拆除</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天棚抹灰铲除</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废渣外运</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人工装废料自卸汽车运</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天棚底层抹灰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水泥石灰砂浆底</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墙面底层抹灰</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水泥石灰砂浆底</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挂网</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网格玻纤布</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抹灰面刷乳胶漆</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满刮腻子底一遍面漆二遍</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墙面脚手架</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2"/>
                <w:sz w:val="20"/>
                <w:szCs w:val="20"/>
                <w:u w:val="none"/>
                <w:lang w:val="en-US" w:eastAsia="zh-CN" w:bidi="ar-SA"/>
              </w:rPr>
            </w:pPr>
            <w:r>
              <w:rPr>
                <w:rFonts w:hint="eastAsia" w:ascii="宋体" w:hAnsi="宋体" w:eastAsia="宋体" w:cs="宋体"/>
                <w:b/>
                <w:bCs/>
                <w:i w:val="0"/>
                <w:iCs w:val="0"/>
                <w:color w:val="FF0000"/>
                <w:kern w:val="0"/>
                <w:sz w:val="20"/>
                <w:szCs w:val="20"/>
                <w:u w:val="none"/>
                <w:lang w:val="en-US" w:eastAsia="zh-CN" w:bidi="ar"/>
              </w:rPr>
              <w:t>5</w:t>
            </w:r>
          </w:p>
        </w:tc>
        <w:tc>
          <w:tcPr>
            <w:tcW w:w="7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FF0000"/>
                <w:kern w:val="0"/>
                <w:sz w:val="22"/>
                <w:szCs w:val="22"/>
                <w:u w:val="none"/>
                <w:lang w:val="en-US" w:eastAsia="zh-CN" w:bidi="ar"/>
              </w:rPr>
              <w:t>空调采购及组装部分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C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格力柜式空调</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3P冷暖</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空调线路、电器配件</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76"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税额（元）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6"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含税总价（元）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085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税率为    %；报价期间因税务政策变化，税率以税务政策规定为准，询价人及响应人根据报价单不含税价及法定增值税税率确认报价总额。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中选人需提供增值税专用发票。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以上工程量与现场大体一致，但供应商必需现场探查做出准确判断，如工程不一致应折算入本表综合单价内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报价单位（盖章）：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日期： </w:t>
            </w:r>
          </w:p>
        </w:tc>
      </w:tr>
    </w:tbl>
    <w:p>
      <w:pPr>
        <w:rPr>
          <w:b w:val="0"/>
          <w:bCs w:val="0"/>
        </w:rPr>
      </w:pPr>
    </w:p>
    <w:p/>
    <w:p/>
    <w:p/>
    <w:p/>
    <w:p/>
    <w:p/>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bidi w:val="0"/>
        <w:jc w:val="left"/>
        <w:rPr>
          <w:rFonts w:hint="eastAsia" w:cs="Times New Roman"/>
          <w:kern w:val="2"/>
          <w:sz w:val="21"/>
          <w:szCs w:val="24"/>
          <w:lang w:val="en-US" w:eastAsia="zh-CN" w:bidi="ar-SA"/>
        </w:rPr>
      </w:pPr>
    </w:p>
    <w:p>
      <w:pPr>
        <w:rPr>
          <w:rFonts w:hint="eastAsia" w:ascii="仿宋" w:hAnsi="仿宋" w:eastAsia="仿宋" w:cs="仿宋"/>
          <w:lang w:val="en-US" w:eastAsia="zh-CN"/>
        </w:rPr>
      </w:pPr>
    </w:p>
    <w:p>
      <w:pPr>
        <w:bidi w:val="0"/>
        <w:jc w:val="left"/>
        <w:rPr>
          <w:rFonts w:hint="default" w:ascii="仿宋" w:hAnsi="仿宋" w:eastAsia="仿宋"/>
          <w:color w:val="000000" w:themeColor="text1"/>
          <w:sz w:val="24"/>
          <w:highlight w:val="none"/>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M2IyYjlkMmIxNjAyNzg3NDgwZTA4ODI2M2RlNDIifQ=="/>
  </w:docVars>
  <w:rsids>
    <w:rsidRoot w:val="1BD26468"/>
    <w:rsid w:val="1BD2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pacing w:line="240" w:lineRule="auto"/>
      <w:jc w:val="center"/>
      <w:textAlignment w:val="baseline"/>
      <w:outlineLvl w:val="1"/>
    </w:pPr>
    <w:rPr>
      <w:rFonts w:ascii="宋体" w:hAnsi="宋体"/>
      <w:kern w:val="0"/>
      <w:sz w:val="24"/>
      <w:szCs w:val="20"/>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font41"/>
    <w:basedOn w:val="4"/>
    <w:autoRedefine/>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2024-04-08T01:31:00Z</dcterms:created>
  <dc:creator>梁上绿萝</dc:creator>
  <cp:lastModifiedBy>梁上绿萝</cp:lastModifiedBy>
  <dcterms:modified xsi:type="dcterms:W3CDTF">2024-04-08T01:32:25Z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804B3AB2D7E942E6965E667D6DC60711_11</vt:lpwstr>
  </property>
</Properties>
</file>