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’Times New Roman’" w:hAnsi="’Times New Roman’" w:eastAsia="宋体" w:cs="’Times New Roman’"/>
          <w:b/>
          <w:bCs/>
          <w:sz w:val="32"/>
          <w:szCs w:val="28"/>
        </w:rPr>
      </w:pPr>
      <w:bookmarkStart w:id="0" w:name="_GoBack"/>
      <w:r>
        <w:rPr>
          <w:rFonts w:hint="eastAsia" w:ascii="’Times New Roman’" w:hAnsi="’Times New Roman’" w:eastAsia="宋体" w:cs="’Times New Roman’"/>
          <w:b/>
          <w:bCs/>
          <w:sz w:val="32"/>
          <w:szCs w:val="28"/>
          <w:lang w:val="en-US" w:eastAsia="zh-CN"/>
        </w:rPr>
        <w:t>附件一：</w:t>
      </w:r>
      <w:r>
        <w:rPr>
          <w:rFonts w:hint="eastAsia" w:ascii="’Times New Roman’" w:hAnsi="’Times New Roman’" w:eastAsia="宋体" w:cs="’Times New Roman’"/>
          <w:b/>
          <w:bCs/>
          <w:sz w:val="32"/>
          <w:szCs w:val="28"/>
        </w:rPr>
        <w:t>报价单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898" w:tblpY="339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738"/>
        <w:gridCol w:w="1770"/>
        <w:gridCol w:w="1868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服务人数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服务价格标准（元/小时）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服务小时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价格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单位：元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编制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2期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发债收益与融资自求平衡财务咨询报告；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项目经理1人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项目经理32小时/人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助理2人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助理32小时/人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协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助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完成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后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相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关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信息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披露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项目经理1人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项目经理16小时/人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助理2人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助理16小时/人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总价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p/>
    <w:bookmarkEnd w:id="0"/>
    <w:sectPr>
      <w:pgSz w:w="11906" w:h="16838"/>
      <w:pgMar w:top="851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159215CB"/>
    <w:rsid w:val="1592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2024-04-10T10:31:00Z</dcterms:created>
  <dc:creator>梁上绿萝</dc:creator>
  <cp:lastModifiedBy>梁上绿萝</cp:lastModifiedBy>
  <dcterms:modified xsi:type="dcterms:W3CDTF">2024-04-10T10:31:28Z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D6F092B56ED44155B0AE25B3F5511E9E_11</vt:lpwstr>
  </property>
</Properties>
</file>