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附件3 </w:t>
      </w:r>
    </w:p>
    <w:bookmarkEnd w:id="0"/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裙楼108号交付设备清单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建筑结构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场地层高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层高4.8M净高3.0M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墙面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天花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楼层荷载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4.0KN/㎡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547.02㎡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安装容量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三相125A 容量50kw 电缆50*4+25*1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计量方式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单独计量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共用接地电阻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≤1Ω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暖通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空调冷负荷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风机盘管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新风机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排风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排烟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机械排烟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弱电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线缆敷设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光缆到铺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系统配备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消防烟感、消防喷头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给排水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给水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管进口径25φ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排水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PVC110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室内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天花吊顶安装公用新风机一台</w:t>
            </w:r>
          </w:p>
        </w:tc>
      </w:tr>
    </w:tbl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K栋101号交付设备清单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建筑结构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场地层高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层高4.8M净高3.0M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墙面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地面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天花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结构毛坏面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楼层荷载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8.0KN/㎡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建筑面积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702.08㎡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安装容量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三相160A 容量65kw 电缆4*70mm+1*35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计量方式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单独计量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共用接地电阻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≤1Ω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暖通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空调冷负荷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风机盘管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新风机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排风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自然通风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排烟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机械排烟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弱电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线缆敷设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光缆到铺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系统配备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消防烟感、消防喷头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给排水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给水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管进口径40φ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排水</w:t>
            </w:r>
          </w:p>
        </w:tc>
        <w:tc>
          <w:tcPr>
            <w:tcW w:w="49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PVC150</w:t>
            </w:r>
          </w:p>
        </w:tc>
      </w:tr>
    </w:tbl>
    <w:p>
      <w:pPr>
        <w:jc w:val="left"/>
        <w:rPr>
          <w:rFonts w:hint="default" w:ascii="宋体" w:hAnsi="宋体" w:cs="宋体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7620D0B-B8AA-4584-A81F-B0EBA4E887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4E61C8-81D8-4E76-B2E7-2E6EF2257C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FE9F4A-2A1F-4B05-AE88-A89BE5B037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2E8F107B"/>
    <w:rsid w:val="1CFF6E22"/>
    <w:rsid w:val="2E8F107B"/>
    <w:rsid w:val="68A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2024-06-21T02:26:00Z</dcterms:created>
  <dc:creator>梁上绿萝</dc:creator>
  <cp:lastModifiedBy>梁上绿萝</cp:lastModifiedBy>
  <dcterms:modified xsi:type="dcterms:W3CDTF">2024-06-21T02:27:41Z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D0542CE5F5AD4BA78377326C2F3655B5_13</vt:lpwstr>
  </property>
</Properties>
</file>