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5D0E8">
      <w:pPr>
        <w:pStyle w:val="6"/>
        <w:spacing w:before="0" w:after="0" w:line="560" w:lineRule="exact"/>
        <w:jc w:val="center"/>
        <w:rPr>
          <w:rFonts w:hint="eastAsia" w:ascii="方正黑体_GBK" w:hAnsi="方正黑体_GBK" w:eastAsia="方正黑体_GBK" w:cs="方正黑体_GBK"/>
          <w:bCs/>
          <w:spacing w:val="0"/>
          <w:kern w:val="36"/>
          <w:sz w:val="44"/>
          <w:szCs w:val="44"/>
          <w:highlight w:val="none"/>
        </w:rPr>
      </w:pPr>
      <w:bookmarkStart w:id="0" w:name="_GoBack"/>
      <w:r>
        <w:rPr>
          <w:rFonts w:hint="eastAsia" w:ascii="方正黑体_GBK" w:hAnsi="方正黑体_GBK" w:eastAsia="方正黑体_GBK" w:cs="方正黑体_GBK"/>
          <w:bCs/>
          <w:spacing w:val="0"/>
          <w:kern w:val="36"/>
          <w:sz w:val="44"/>
          <w:szCs w:val="44"/>
          <w:highlight w:val="none"/>
        </w:rPr>
        <w:t>承诺书</w:t>
      </w:r>
    </w:p>
    <w:bookmarkEnd w:id="0"/>
    <w:p w14:paraId="68EDAE8C">
      <w:pPr>
        <w:pStyle w:val="6"/>
        <w:spacing w:before="0" w:after="0" w:line="560" w:lineRule="exact"/>
        <w:jc w:val="center"/>
        <w:rPr>
          <w:rFonts w:hint="eastAsia" w:ascii="方正黑体_GBK" w:hAnsi="方正黑体_GBK" w:eastAsia="方正黑体_GBK" w:cs="方正黑体_GBK"/>
          <w:bCs/>
          <w:spacing w:val="0"/>
          <w:kern w:val="36"/>
          <w:sz w:val="44"/>
          <w:szCs w:val="44"/>
          <w:highlight w:val="none"/>
        </w:rPr>
      </w:pPr>
    </w:p>
    <w:p w14:paraId="556932DF">
      <w:pPr>
        <w:spacing w:line="560" w:lineRule="exact"/>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（企业名称）郑重承诺：</w:t>
      </w:r>
    </w:p>
    <w:p w14:paraId="484D2DA3">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申请人已充分了解深圳市前海</w:t>
      </w:r>
      <w:r>
        <w:rPr>
          <w:rFonts w:hint="eastAsia" w:ascii="宋体" w:hAnsi="宋体" w:cs="宋体"/>
          <w:sz w:val="24"/>
          <w:szCs w:val="24"/>
          <w:highlight w:val="none"/>
          <w:lang w:val="en-US" w:eastAsia="zh-CN"/>
        </w:rPr>
        <w:t>产业发展</w:t>
      </w:r>
      <w:r>
        <w:rPr>
          <w:rFonts w:hint="eastAsia" w:ascii="宋体" w:hAnsi="宋体" w:cs="宋体"/>
          <w:sz w:val="24"/>
          <w:szCs w:val="24"/>
          <w:highlight w:val="none"/>
        </w:rPr>
        <w:t>集团有限公司促进梦工场园区港澳企业发展优惠方案专项资金的申报要求，认真审查了申报主体资格，确保所有申报材料、申报信息</w:t>
      </w:r>
      <w:r>
        <w:rPr>
          <w:rFonts w:hint="eastAsia" w:ascii="宋体" w:hAnsi="宋体" w:cs="宋体"/>
          <w:sz w:val="24"/>
          <w:szCs w:val="24"/>
          <w:highlight w:val="none"/>
          <w:lang w:val="en-US" w:eastAsia="zh-CN"/>
        </w:rPr>
        <w:t>真实、完整、有效和合法</w:t>
      </w:r>
      <w:r>
        <w:rPr>
          <w:rFonts w:hint="eastAsia" w:ascii="宋体" w:hAnsi="宋体" w:cs="宋体"/>
          <w:sz w:val="24"/>
          <w:szCs w:val="24"/>
          <w:highlight w:val="none"/>
        </w:rPr>
        <w:t>，申报资质有效。申请人已经完全了解并遵守《促进前海深港青年梦工场园区港澳企业发展优惠方案》（以下简称</w:t>
      </w:r>
      <w:r>
        <w:rPr>
          <w:rFonts w:hint="eastAsia" w:ascii="宋体" w:hAnsi="宋体" w:cs="宋体"/>
          <w:sz w:val="24"/>
          <w:szCs w:val="24"/>
          <w:highlight w:val="none"/>
          <w:lang w:eastAsia="zh-CN"/>
        </w:rPr>
        <w:t>“</w:t>
      </w:r>
      <w:r>
        <w:rPr>
          <w:rFonts w:hint="eastAsia" w:ascii="宋体" w:hAnsi="宋体" w:cs="宋体"/>
          <w:sz w:val="24"/>
          <w:szCs w:val="24"/>
          <w:highlight w:val="none"/>
        </w:rPr>
        <w:t>优惠方案</w:t>
      </w:r>
      <w:r>
        <w:rPr>
          <w:rFonts w:hint="eastAsia" w:ascii="宋体" w:hAnsi="宋体" w:cs="宋体"/>
          <w:sz w:val="24"/>
          <w:szCs w:val="24"/>
          <w:highlight w:val="none"/>
          <w:lang w:eastAsia="zh-CN"/>
        </w:rPr>
        <w:t>”</w:t>
      </w:r>
      <w:r>
        <w:rPr>
          <w:rFonts w:hint="eastAsia" w:ascii="宋体" w:hAnsi="宋体" w:cs="宋体"/>
          <w:sz w:val="24"/>
          <w:szCs w:val="24"/>
          <w:highlight w:val="none"/>
        </w:rPr>
        <w:t>），《促进</w:t>
      </w:r>
      <w:r>
        <w:rPr>
          <w:rFonts w:hint="eastAsia" w:ascii="宋体" w:hAnsi="宋体" w:cs="宋体"/>
          <w:sz w:val="24"/>
          <w:szCs w:val="24"/>
          <w:highlight w:val="none"/>
          <w:lang w:val="en-US" w:eastAsia="zh-CN"/>
        </w:rPr>
        <w:t>前海深港青年</w:t>
      </w:r>
      <w:r>
        <w:rPr>
          <w:rFonts w:hint="eastAsia" w:ascii="宋体" w:hAnsi="宋体" w:cs="宋体"/>
          <w:sz w:val="24"/>
          <w:szCs w:val="24"/>
          <w:highlight w:val="none"/>
        </w:rPr>
        <w:t>梦工场园区港澳企业发展优惠方案实施细则》（以下简称</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优惠方案</w:t>
      </w:r>
      <w:r>
        <w:rPr>
          <w:rFonts w:hint="eastAsia" w:ascii="宋体" w:hAnsi="宋体" w:cs="宋体"/>
          <w:sz w:val="24"/>
          <w:szCs w:val="24"/>
          <w:highlight w:val="none"/>
        </w:rPr>
        <w:t>实施细则</w:t>
      </w:r>
      <w:r>
        <w:rPr>
          <w:rFonts w:hint="eastAsia" w:ascii="宋体" w:hAnsi="宋体" w:cs="宋体"/>
          <w:sz w:val="24"/>
          <w:szCs w:val="24"/>
          <w:highlight w:val="none"/>
          <w:lang w:eastAsia="zh-CN"/>
        </w:rPr>
        <w:t>”</w:t>
      </w:r>
      <w:r>
        <w:rPr>
          <w:rFonts w:hint="eastAsia" w:ascii="宋体" w:hAnsi="宋体" w:cs="宋体"/>
          <w:sz w:val="24"/>
          <w:szCs w:val="24"/>
          <w:highlight w:val="none"/>
        </w:rPr>
        <w:t>）有关规定，并作出以下承诺：</w:t>
      </w:r>
    </w:p>
    <w:p w14:paraId="4FED8E9B">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申请人已了解相关法律、法规和政策规定，如以申报虚假材料和信息等行为骗取财政资金，我单位/个人愿意承担相关的行政、经济和法律责任。</w:t>
      </w:r>
    </w:p>
    <w:p w14:paraId="10F42D81">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同一年度，申请人申报优惠方案及实施细则的有关资助与《深圳市前海深港现代服务业合作区管理局关于支持港澳青年在前海就业创业发展的十二条措施》有重复、交叉的，</w:t>
      </w:r>
      <w:r>
        <w:rPr>
          <w:rFonts w:hint="eastAsia" w:ascii="宋体" w:hAnsi="宋体" w:cs="宋体"/>
          <w:sz w:val="24"/>
          <w:szCs w:val="24"/>
          <w:highlight w:val="none"/>
          <w:lang w:val="en-US" w:eastAsia="zh-CN"/>
        </w:rPr>
        <w:t>需同时进行申请，差额部分可由优惠方案补足</w:t>
      </w:r>
      <w:r>
        <w:rPr>
          <w:rFonts w:hint="eastAsia" w:ascii="宋体" w:hAnsi="宋体" w:cs="宋体"/>
          <w:sz w:val="24"/>
          <w:szCs w:val="24"/>
          <w:highlight w:val="none"/>
        </w:rPr>
        <w:t>。</w:t>
      </w:r>
    </w:p>
    <w:p w14:paraId="38AFB7BA">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旦发现申请人所填写的信息或提交的材料不真实合法，我单位及申请人自愿退还已发放资金并按当期贷款市场报价利率（LPR）计息，计息日期为扶持资金到账之日起至全部资金归还之日止，五年内自愿放弃深圳市前海</w:t>
      </w:r>
      <w:r>
        <w:rPr>
          <w:rFonts w:hint="eastAsia" w:ascii="宋体" w:hAnsi="宋体" w:cs="宋体"/>
          <w:sz w:val="24"/>
          <w:szCs w:val="24"/>
          <w:highlight w:val="none"/>
          <w:lang w:val="en-US" w:eastAsia="zh-CN"/>
        </w:rPr>
        <w:t>产业发展</w:t>
      </w:r>
      <w:r>
        <w:rPr>
          <w:rFonts w:hint="eastAsia" w:ascii="宋体" w:hAnsi="宋体" w:cs="宋体"/>
          <w:sz w:val="24"/>
          <w:szCs w:val="24"/>
          <w:highlight w:val="none"/>
        </w:rPr>
        <w:t>集团有限公司各类</w:t>
      </w:r>
      <w:r>
        <w:rPr>
          <w:rFonts w:hint="eastAsia" w:ascii="宋体" w:hAnsi="宋体" w:cs="宋体"/>
          <w:sz w:val="24"/>
          <w:szCs w:val="24"/>
          <w:highlight w:val="none"/>
          <w:lang w:val="en-US" w:eastAsia="zh-CN"/>
        </w:rPr>
        <w:t>优惠补贴</w:t>
      </w:r>
      <w:r>
        <w:rPr>
          <w:rFonts w:hint="eastAsia" w:ascii="宋体" w:hAnsi="宋体" w:cs="宋体"/>
          <w:sz w:val="24"/>
          <w:szCs w:val="24"/>
          <w:highlight w:val="none"/>
        </w:rPr>
        <w:t>申请资格。同意深圳市前海</w:t>
      </w:r>
      <w:r>
        <w:rPr>
          <w:rFonts w:hint="eastAsia" w:ascii="宋体" w:hAnsi="宋体" w:cs="宋体"/>
          <w:sz w:val="24"/>
          <w:szCs w:val="24"/>
          <w:highlight w:val="none"/>
          <w:lang w:val="en-US" w:eastAsia="zh-CN"/>
        </w:rPr>
        <w:t>产业发展</w:t>
      </w:r>
      <w:r>
        <w:rPr>
          <w:rFonts w:hint="eastAsia" w:ascii="宋体" w:hAnsi="宋体" w:cs="宋体"/>
          <w:sz w:val="24"/>
          <w:szCs w:val="24"/>
          <w:highlight w:val="none"/>
        </w:rPr>
        <w:t>集团有限公司依法将本公司及法定代表人的行为信息纳入公共信用信息系统。</w:t>
      </w:r>
    </w:p>
    <w:p w14:paraId="28E011E1">
      <w:pPr>
        <w:adjustRightInd w:val="0"/>
        <w:snapToGrid w:val="0"/>
        <w:spacing w:line="360" w:lineRule="exact"/>
        <w:jc w:val="left"/>
        <w:rPr>
          <w:rFonts w:hint="eastAsia" w:ascii="宋体" w:hAnsi="宋体" w:cs="宋体"/>
          <w:color w:val="000000"/>
          <w:sz w:val="24"/>
          <w:szCs w:val="24"/>
          <w:highlight w:val="none"/>
          <w:lang w:bidi="ar"/>
        </w:rPr>
      </w:pPr>
    </w:p>
    <w:p w14:paraId="2CBF332D">
      <w:pPr>
        <w:adjustRightInd w:val="0"/>
        <w:snapToGrid w:val="0"/>
        <w:spacing w:line="360" w:lineRule="exact"/>
        <w:ind w:firstLine="480" w:firstLineChars="200"/>
        <w:jc w:val="left"/>
        <w:rPr>
          <w:rFonts w:hint="eastAsia" w:ascii="宋体" w:hAnsi="宋体" w:cs="宋体"/>
          <w:color w:val="000000"/>
          <w:sz w:val="24"/>
          <w:szCs w:val="24"/>
          <w:highlight w:val="none"/>
          <w:lang w:bidi="ar"/>
        </w:rPr>
      </w:pPr>
      <w:r>
        <w:rPr>
          <w:rFonts w:hint="eastAsia" w:ascii="宋体" w:hAnsi="宋体" w:cs="宋体"/>
          <w:color w:val="000000"/>
          <w:sz w:val="24"/>
          <w:szCs w:val="24"/>
          <w:highlight w:val="none"/>
          <w:lang w:bidi="ar"/>
        </w:rPr>
        <w:t>单位经办人签字：</w:t>
      </w:r>
    </w:p>
    <w:p w14:paraId="1ED204A4">
      <w:pPr>
        <w:spacing w:line="56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lang w:bidi="ar"/>
        </w:rPr>
        <w:t>单</w:t>
      </w:r>
      <w:r>
        <w:rPr>
          <w:rFonts w:hint="eastAsia" w:ascii="宋体" w:hAnsi="宋体" w:cs="宋体"/>
          <w:sz w:val="24"/>
          <w:szCs w:val="24"/>
          <w:highlight w:val="none"/>
        </w:rPr>
        <w:t>位主要负责人（法人代表）签字：</w:t>
      </w:r>
    </w:p>
    <w:p w14:paraId="48BE6E87">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（单位盖章）</w:t>
      </w:r>
    </w:p>
    <w:p w14:paraId="0064E713">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年   月    日</w:t>
      </w:r>
    </w:p>
    <w:p w14:paraId="6673FDB6">
      <w:pPr>
        <w:spacing w:after="156" w:afterLines="50" w:line="400" w:lineRule="exact"/>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主体责任告知书</w:t>
      </w:r>
    </w:p>
    <w:p w14:paraId="6332ED72">
      <w:pPr>
        <w:adjustRightInd w:val="0"/>
        <w:snapToGrid w:val="0"/>
        <w:spacing w:line="400" w:lineRule="exact"/>
        <w:ind w:firstLine="480" w:firstLineChars="200"/>
        <w:rPr>
          <w:rFonts w:hint="eastAsia" w:hAnsi="仿宋" w:cs="仿宋"/>
          <w:sz w:val="24"/>
          <w:szCs w:val="24"/>
          <w:highlight w:val="none"/>
          <w:lang w:bidi="ar"/>
        </w:rPr>
      </w:pPr>
      <w:r>
        <w:rPr>
          <w:rFonts w:hint="eastAsia" w:hAnsi="仿宋" w:cs="仿宋"/>
          <w:sz w:val="24"/>
          <w:szCs w:val="24"/>
          <w:highlight w:val="none"/>
          <w:lang w:bidi="ar"/>
        </w:rPr>
        <w:t>贵方申报</w:t>
      </w:r>
      <w:r>
        <w:rPr>
          <w:rFonts w:hint="eastAsia" w:hAnsi="仿宋" w:cs="仿宋"/>
          <w:color w:val="000000"/>
          <w:sz w:val="24"/>
          <w:szCs w:val="24"/>
          <w:highlight w:val="none"/>
          <w:lang w:bidi="ar"/>
        </w:rPr>
        <w:t>深圳市前海</w:t>
      </w:r>
      <w:r>
        <w:rPr>
          <w:rFonts w:hint="eastAsia" w:hAnsi="仿宋" w:cs="仿宋"/>
          <w:color w:val="000000"/>
          <w:sz w:val="24"/>
          <w:szCs w:val="24"/>
          <w:highlight w:val="none"/>
          <w:lang w:val="en-US" w:eastAsia="zh-CN" w:bidi="ar"/>
        </w:rPr>
        <w:t>产业发展</w:t>
      </w:r>
      <w:r>
        <w:rPr>
          <w:rFonts w:hint="eastAsia" w:hAnsi="仿宋" w:cs="仿宋"/>
          <w:color w:val="000000"/>
          <w:sz w:val="24"/>
          <w:szCs w:val="24"/>
          <w:highlight w:val="none"/>
          <w:lang w:bidi="ar"/>
        </w:rPr>
        <w:t>集团有限公司促进</w:t>
      </w:r>
      <w:r>
        <w:rPr>
          <w:rFonts w:hint="eastAsia" w:hAnsi="仿宋" w:cs="仿宋"/>
          <w:color w:val="000000"/>
          <w:sz w:val="24"/>
          <w:szCs w:val="24"/>
          <w:highlight w:val="none"/>
          <w:lang w:val="en-US" w:eastAsia="zh-CN" w:bidi="ar"/>
        </w:rPr>
        <w:t>前海深港青年</w:t>
      </w:r>
      <w:r>
        <w:rPr>
          <w:rFonts w:hint="eastAsia" w:hAnsi="仿宋" w:cs="仿宋"/>
          <w:color w:val="000000"/>
          <w:sz w:val="24"/>
          <w:szCs w:val="24"/>
          <w:highlight w:val="none"/>
          <w:lang w:bidi="ar"/>
        </w:rPr>
        <w:t>梦工场园区港澳企业发展优惠方案</w:t>
      </w:r>
      <w:r>
        <w:rPr>
          <w:rFonts w:hint="eastAsia" w:hAnsi="仿宋" w:cs="仿宋"/>
          <w:color w:val="000000"/>
          <w:sz w:val="24"/>
          <w:szCs w:val="24"/>
          <w:highlight w:val="none"/>
          <w:lang w:val="en-US" w:eastAsia="zh-CN" w:bidi="ar"/>
        </w:rPr>
        <w:t>实施细则</w:t>
      </w:r>
      <w:r>
        <w:rPr>
          <w:rFonts w:hint="eastAsia" w:hAnsi="仿宋" w:cs="仿宋"/>
          <w:sz w:val="24"/>
          <w:szCs w:val="24"/>
          <w:highlight w:val="none"/>
          <w:lang w:bidi="ar"/>
        </w:rPr>
        <w:t>时，提供的申报材料必须严格按照</w:t>
      </w:r>
      <w:r>
        <w:rPr>
          <w:rFonts w:hint="eastAsia" w:hAnsi="仿宋" w:cs="仿宋"/>
          <w:color w:val="000000"/>
          <w:sz w:val="24"/>
          <w:szCs w:val="24"/>
          <w:highlight w:val="none"/>
          <w:lang w:bidi="ar"/>
        </w:rPr>
        <w:t>深圳市前海</w:t>
      </w:r>
      <w:r>
        <w:rPr>
          <w:rFonts w:hint="eastAsia" w:hAnsi="仿宋" w:cs="仿宋"/>
          <w:color w:val="000000"/>
          <w:sz w:val="24"/>
          <w:szCs w:val="24"/>
          <w:highlight w:val="none"/>
          <w:lang w:val="en-US" w:eastAsia="zh-CN" w:bidi="ar"/>
        </w:rPr>
        <w:t>产业发展</w:t>
      </w:r>
      <w:r>
        <w:rPr>
          <w:rFonts w:hint="eastAsia" w:hAnsi="仿宋" w:cs="仿宋"/>
          <w:color w:val="000000"/>
          <w:sz w:val="24"/>
          <w:szCs w:val="24"/>
          <w:highlight w:val="none"/>
          <w:lang w:bidi="ar"/>
        </w:rPr>
        <w:t>集团有限公司促进前海深港青年梦工场园区港澳企业发展优惠方案实施细则</w:t>
      </w:r>
      <w:r>
        <w:rPr>
          <w:rFonts w:hint="eastAsia" w:hAnsi="仿宋" w:cs="仿宋"/>
          <w:sz w:val="24"/>
          <w:szCs w:val="24"/>
          <w:highlight w:val="none"/>
          <w:lang w:bidi="ar"/>
        </w:rPr>
        <w:t>要求办理，确保材料真实、合法、准确、与实际情况相符。如有违反，将按照相关法律、法规和政策规定追究行政、经济和法律责任。申报单位对申请人申报行为负连带责任。</w:t>
      </w:r>
    </w:p>
    <w:p w14:paraId="48804C59">
      <w:pPr>
        <w:adjustRightInd w:val="0"/>
        <w:snapToGrid w:val="0"/>
        <w:spacing w:before="156" w:beforeLines="50" w:line="400" w:lineRule="exact"/>
        <w:ind w:firstLine="480" w:firstLineChars="200"/>
        <w:jc w:val="center"/>
        <w:rPr>
          <w:rFonts w:hint="eastAsia" w:ascii="黑体" w:hAnsi="宋体" w:eastAsia="黑体" w:cs="黑体"/>
          <w:sz w:val="24"/>
          <w:szCs w:val="24"/>
          <w:highlight w:val="none"/>
        </w:rPr>
      </w:pPr>
      <w:r>
        <w:rPr>
          <w:rFonts w:hint="eastAsia" w:ascii="黑体" w:hAnsi="宋体" w:eastAsia="黑体" w:cs="黑体"/>
          <w:sz w:val="24"/>
          <w:szCs w:val="24"/>
          <w:highlight w:val="none"/>
          <w:lang w:bidi="ar"/>
        </w:rPr>
        <w:t>《中华人民共和国刑法》</w:t>
      </w:r>
    </w:p>
    <w:p w14:paraId="39D3C9FE">
      <w:pPr>
        <w:adjustRightInd w:val="0"/>
        <w:snapToGrid w:val="0"/>
        <w:spacing w:line="400" w:lineRule="exact"/>
        <w:ind w:firstLine="482" w:firstLineChars="200"/>
        <w:rPr>
          <w:rFonts w:hint="eastAsia" w:hAnsi="仿宋" w:cs="仿宋"/>
          <w:sz w:val="24"/>
          <w:szCs w:val="24"/>
          <w:highlight w:val="none"/>
          <w:lang w:bidi="ar"/>
        </w:rPr>
      </w:pPr>
      <w:r>
        <w:rPr>
          <w:rFonts w:hint="eastAsia" w:hAnsi="仿宋" w:cs="仿宋"/>
          <w:b/>
          <w:sz w:val="24"/>
          <w:szCs w:val="24"/>
          <w:highlight w:val="none"/>
          <w:lang w:bidi="ar"/>
        </w:rPr>
        <w:t>第二百六十六条</w:t>
      </w:r>
      <w:r>
        <w:rPr>
          <w:rFonts w:hint="eastAsia" w:hAnsi="仿宋" w:cs="仿宋"/>
          <w:sz w:val="24"/>
          <w:szCs w:val="24"/>
          <w:highlight w:val="none"/>
          <w:lang w:bidi="ar"/>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14:paraId="28CE52F9">
      <w:pPr>
        <w:adjustRightInd w:val="0"/>
        <w:snapToGrid w:val="0"/>
        <w:spacing w:before="156" w:beforeLines="50" w:line="400" w:lineRule="exact"/>
        <w:ind w:firstLine="480" w:firstLineChars="200"/>
        <w:jc w:val="center"/>
        <w:rPr>
          <w:rFonts w:hint="eastAsia" w:ascii="黑体" w:hAnsi="宋体" w:eastAsia="黑体" w:cs="黑体"/>
          <w:sz w:val="24"/>
          <w:szCs w:val="24"/>
          <w:highlight w:val="none"/>
          <w:lang w:bidi="ar"/>
        </w:rPr>
      </w:pPr>
      <w:r>
        <w:rPr>
          <w:rFonts w:hint="eastAsia" w:ascii="黑体" w:hAnsi="宋体" w:eastAsia="黑体" w:cs="黑体"/>
          <w:sz w:val="24"/>
          <w:szCs w:val="24"/>
          <w:highlight w:val="none"/>
          <w:lang w:bidi="ar"/>
        </w:rPr>
        <w:t>《财政违法行为处罚处分条例》</w:t>
      </w:r>
    </w:p>
    <w:p w14:paraId="418B42D7">
      <w:pPr>
        <w:adjustRightInd w:val="0"/>
        <w:snapToGrid w:val="0"/>
        <w:spacing w:line="400" w:lineRule="exact"/>
        <w:ind w:firstLine="482" w:firstLineChars="200"/>
        <w:rPr>
          <w:rFonts w:hint="eastAsia" w:hAnsi="仿宋" w:cs="仿宋"/>
          <w:sz w:val="24"/>
          <w:szCs w:val="24"/>
          <w:highlight w:val="none"/>
          <w:lang w:bidi="ar"/>
        </w:rPr>
      </w:pPr>
      <w:r>
        <w:rPr>
          <w:rFonts w:hint="eastAsia" w:hAnsi="仿宋" w:cs="仿宋"/>
          <w:b/>
          <w:sz w:val="24"/>
          <w:szCs w:val="24"/>
          <w:highlight w:val="none"/>
          <w:lang w:bidi="ar"/>
        </w:rPr>
        <w:t>第十四条</w:t>
      </w:r>
      <w:r>
        <w:rPr>
          <w:rFonts w:hint="eastAsia" w:ascii="仿宋" w:hAnsi="仿宋" w:eastAsia="仿宋" w:cs="仿宋"/>
          <w:sz w:val="24"/>
          <w:szCs w:val="24"/>
          <w:highlight w:val="none"/>
          <w:lang w:bidi="ar"/>
        </w:rPr>
        <w:t> </w:t>
      </w:r>
      <w:r>
        <w:rPr>
          <w:rFonts w:hint="eastAsia" w:hAnsi="仿宋" w:cs="仿宋"/>
          <w:sz w:val="24"/>
          <w:szCs w:val="24"/>
          <w:highlight w:val="none"/>
          <w:lang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14:paraId="43181DF5">
      <w:pPr>
        <w:adjustRightInd w:val="0"/>
        <w:snapToGrid w:val="0"/>
        <w:spacing w:line="400" w:lineRule="exact"/>
        <w:ind w:firstLine="480" w:firstLineChars="200"/>
        <w:jc w:val="left"/>
        <w:rPr>
          <w:rFonts w:hint="eastAsia" w:hAnsi="仿宋" w:cs="仿宋"/>
          <w:sz w:val="24"/>
          <w:szCs w:val="24"/>
          <w:highlight w:val="none"/>
          <w:lang w:bidi="ar"/>
        </w:rPr>
      </w:pPr>
      <w:r>
        <w:rPr>
          <w:rFonts w:hAnsi="仿宋" w:cs="仿宋"/>
          <w:sz w:val="24"/>
          <w:szCs w:val="24"/>
          <w:highlight w:val="none"/>
          <w:lang w:bidi="ar"/>
        </w:rPr>
        <w:t>（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p>
    <w:p w14:paraId="79331A40">
      <w:pPr>
        <w:widowControl/>
        <w:spacing w:line="400" w:lineRule="exact"/>
        <w:ind w:firstLine="480" w:firstLineChars="200"/>
        <w:rPr>
          <w:rFonts w:hint="eastAsia" w:hAnsi="仿宋" w:cs="仿宋"/>
          <w:sz w:val="24"/>
          <w:szCs w:val="24"/>
          <w:highlight w:val="none"/>
        </w:rPr>
      </w:pPr>
    </w:p>
    <w:p w14:paraId="7AF5F3E4">
      <w:pPr>
        <w:spacing w:line="540" w:lineRule="exact"/>
        <w:ind w:firstLine="0" w:firstLineChars="0"/>
        <w:jc w:val="center"/>
        <w:rPr>
          <w:rFonts w:hint="eastAsia" w:ascii="宋体" w:hAnsi="宋体" w:eastAsia="宋体"/>
          <w:b/>
          <w:sz w:val="36"/>
          <w:szCs w:val="36"/>
          <w:highlight w:val="none"/>
        </w:rPr>
      </w:pPr>
    </w:p>
    <w:p w14:paraId="6708F6BE">
      <w:pPr>
        <w:spacing w:line="540" w:lineRule="exact"/>
        <w:ind w:firstLine="0" w:firstLineChars="0"/>
        <w:jc w:val="center"/>
        <w:rPr>
          <w:rFonts w:hint="eastAsia" w:ascii="宋体" w:hAnsi="宋体" w:eastAsia="宋体"/>
          <w:b/>
          <w:sz w:val="36"/>
          <w:szCs w:val="36"/>
          <w:highlight w:val="none"/>
        </w:rPr>
      </w:pPr>
    </w:p>
    <w:p w14:paraId="09E01E21">
      <w:pPr>
        <w:spacing w:line="540" w:lineRule="exact"/>
        <w:ind w:firstLine="0" w:firstLineChars="0"/>
        <w:jc w:val="center"/>
        <w:rPr>
          <w:rFonts w:hint="eastAsia" w:ascii="宋体" w:hAnsi="宋体" w:eastAsia="宋体"/>
          <w:b/>
          <w:sz w:val="36"/>
          <w:szCs w:val="36"/>
          <w:highlight w:val="none"/>
        </w:rPr>
      </w:pPr>
    </w:p>
    <w:p w14:paraId="3AE54044">
      <w:pPr>
        <w:spacing w:line="540" w:lineRule="exact"/>
        <w:ind w:firstLine="0" w:firstLineChars="0"/>
        <w:jc w:val="center"/>
        <w:rPr>
          <w:rFonts w:hint="eastAsia" w:ascii="宋体" w:hAnsi="宋体" w:eastAsia="宋体"/>
          <w:b/>
          <w:sz w:val="36"/>
          <w:szCs w:val="36"/>
          <w:highlight w:val="none"/>
        </w:rPr>
      </w:pPr>
    </w:p>
    <w:p w14:paraId="11CC6EA9">
      <w:pPr>
        <w:spacing w:line="540" w:lineRule="exact"/>
        <w:ind w:firstLine="0" w:firstLineChars="0"/>
        <w:jc w:val="center"/>
        <w:rPr>
          <w:rFonts w:hint="eastAsia" w:ascii="宋体" w:hAnsi="宋体" w:eastAsia="宋体"/>
          <w:b/>
          <w:sz w:val="36"/>
          <w:szCs w:val="36"/>
          <w:highlight w:val="none"/>
        </w:rPr>
      </w:pPr>
    </w:p>
    <w:p w14:paraId="06D41285">
      <w:pPr>
        <w:spacing w:line="540" w:lineRule="exact"/>
        <w:ind w:firstLine="0" w:firstLineChars="0"/>
        <w:jc w:val="center"/>
        <w:rPr>
          <w:rFonts w:hint="eastAsia" w:ascii="宋体" w:hAnsi="宋体" w:eastAsia="宋体"/>
          <w:b/>
          <w:sz w:val="36"/>
          <w:szCs w:val="36"/>
          <w:highlight w:val="none"/>
        </w:rPr>
      </w:pPr>
    </w:p>
    <w:p w14:paraId="1A9FD91C">
      <w:pPr>
        <w:spacing w:line="540" w:lineRule="exact"/>
        <w:ind w:firstLine="0" w:firstLineChars="0"/>
        <w:jc w:val="center"/>
        <w:rPr>
          <w:rFonts w:hint="eastAsia" w:ascii="宋体" w:hAnsi="宋体" w:eastAsia="宋体"/>
          <w:b/>
          <w:sz w:val="36"/>
          <w:szCs w:val="36"/>
          <w:highlight w:val="none"/>
        </w:rPr>
      </w:pPr>
    </w:p>
    <w:p w14:paraId="24BA2C11">
      <w:pPr>
        <w:spacing w:line="540" w:lineRule="exact"/>
        <w:ind w:firstLine="0" w:firstLineChars="0"/>
        <w:jc w:val="center"/>
        <w:rPr>
          <w:rFonts w:ascii="宋体" w:hAnsi="宋体" w:eastAsia="宋体"/>
          <w:b/>
          <w:sz w:val="36"/>
          <w:szCs w:val="36"/>
          <w:highlight w:val="none"/>
        </w:rPr>
      </w:pPr>
      <w:r>
        <w:rPr>
          <w:rFonts w:hint="eastAsia" w:ascii="宋体" w:hAnsi="宋体" w:eastAsia="宋体"/>
          <w:b/>
          <w:sz w:val="36"/>
          <w:szCs w:val="36"/>
          <w:highlight w:val="none"/>
        </w:rPr>
        <w:t>港澳（台湾、海外地区）高校名单</w:t>
      </w:r>
    </w:p>
    <w:p w14:paraId="2BCFDDE9">
      <w:pPr>
        <w:spacing w:line="540" w:lineRule="exact"/>
        <w:ind w:firstLine="0" w:firstLineChars="0"/>
        <w:jc w:val="center"/>
        <w:rPr>
          <w:rFonts w:ascii="宋体" w:hAnsi="宋体" w:eastAsia="宋体"/>
          <w:b/>
          <w:sz w:val="44"/>
          <w:szCs w:val="44"/>
          <w:highlight w:val="none"/>
        </w:rPr>
      </w:pPr>
    </w:p>
    <w:p w14:paraId="1865002E">
      <w:pPr>
        <w:spacing w:line="540" w:lineRule="exact"/>
        <w:ind w:firstLine="643"/>
        <w:rPr>
          <w:rFonts w:ascii="仿宋_GB2312"/>
          <w:szCs w:val="32"/>
          <w:highlight w:val="none"/>
        </w:rPr>
      </w:pPr>
      <w:r>
        <w:rPr>
          <w:rFonts w:hint="eastAsia" w:ascii="楷体_GB2312" w:eastAsia="楷体_GB2312"/>
          <w:b/>
          <w:szCs w:val="32"/>
          <w:highlight w:val="none"/>
        </w:rPr>
        <w:t>香港特别行政区：</w:t>
      </w:r>
      <w:r>
        <w:rPr>
          <w:rFonts w:hint="eastAsia" w:ascii="仿宋_GB2312"/>
          <w:szCs w:val="32"/>
          <w:highlight w:val="none"/>
        </w:rPr>
        <w:t>香港大学、香港中文大学、香港理工大学、香港科技大学、香港浸会大学、香港城市大学、香港教育大学、香港公开大学、岭南大学、香港树仁大学、香港珠海学院、恒生管理学院、明爱专上学院、东华学院、明德学院、香港能仁专上学院、港专学院、宏恩基督教学院；</w:t>
      </w:r>
    </w:p>
    <w:p w14:paraId="6959CFAF">
      <w:pPr>
        <w:spacing w:line="540" w:lineRule="exact"/>
        <w:ind w:firstLine="643"/>
        <w:rPr>
          <w:rFonts w:ascii="仿宋_GB2312"/>
          <w:szCs w:val="32"/>
          <w:highlight w:val="none"/>
        </w:rPr>
      </w:pPr>
      <w:r>
        <w:rPr>
          <w:rFonts w:hint="eastAsia" w:ascii="楷体_GB2312" w:eastAsia="楷体_GB2312"/>
          <w:b/>
          <w:szCs w:val="32"/>
          <w:highlight w:val="none"/>
        </w:rPr>
        <w:t>澳门特别行政区：</w:t>
      </w:r>
      <w:r>
        <w:rPr>
          <w:rFonts w:hint="eastAsia" w:ascii="仿宋_GB2312"/>
          <w:szCs w:val="32"/>
          <w:highlight w:val="none"/>
        </w:rPr>
        <w:t>澳门大学、澳门科技大学、澳门理工学院、澳门旅游学院、澳门镜湖护理学院、澳门城市大学；</w:t>
      </w:r>
    </w:p>
    <w:p w14:paraId="644F3532">
      <w:pPr>
        <w:spacing w:line="540" w:lineRule="exact"/>
        <w:ind w:firstLine="643"/>
        <w:rPr>
          <w:rFonts w:ascii="仿宋_GB2312"/>
          <w:szCs w:val="32"/>
          <w:highlight w:val="none"/>
        </w:rPr>
      </w:pPr>
      <w:r>
        <w:rPr>
          <w:rFonts w:hint="eastAsia" w:ascii="楷体_GB2312" w:eastAsia="楷体_GB2312"/>
          <w:b/>
          <w:szCs w:val="32"/>
          <w:highlight w:val="none"/>
        </w:rPr>
        <w:t>台湾地区：</w:t>
      </w:r>
      <w:r>
        <w:rPr>
          <w:rFonts w:hint="eastAsia" w:ascii="仿宋_GB2312"/>
          <w:szCs w:val="32"/>
          <w:highlight w:val="none"/>
        </w:rPr>
        <w:t>政治大学、清华大学、台湾大学、台湾师范大学、成功大学、中兴大学、交通大学、中央大学、中山大学、台湾海洋大学、中正大学、高雄师范大学、彰化师范大学、阳明大学、台北大学、嘉义大学、高雄大学、东华大学、暨南国际大学、台北艺术大学、台湾艺术大学、台东大学、宜兰大学、联合大学、台南艺术大学、台南大学、台北教育大学、新竹教育大学、台中教育大学、屏东教育大学、体育大学、金门大学、台湾体育运动大学、东海大学、辅仁大学、东吴大学、中原大学、淡江大学、中国文化大学、逢甲大学、静宜大学、长庚大学、元智大学、中华大学、大叶大学、华梵大学、义守大学、世新大学、铭传大学、实践大学、高雄医学大学、南华大学、真理大学、大同大学、慈济大学、台北医学大学、中山医学大学、长荣大学、中国医药大学、玄奘大学、亚洲大学、开南大学、佛光大学、明道大学、康宁大学、台湾首府大学、台北市立教育大学、兴国管理学院、稻江科技暨管理学院、马偕医学院、台北市立体育学院、台湾科技大学、云林科技大学、屏东科技大学、台北科技大学、高雄第一科技大学、高雄应用科技大学、虎尾科技大学、高雄海洋科技大学、澎湖科技大学、勤益科技大学、台北护理健康大学、高雄餐旅大学、台中科技大学、朝阳科技大学、南台科技大学、昆山科技大学、嘉南药理科技大学、树德科技大学、龙华科技大学、辅英科技大学、明新科技大学、弘光科技大学、健行科技大学、正修科技大学、万能科技大学、建国科技大学、明志科技大学、高苑科技大学、大仁科技大学、圣约翰科技大学、岭东科技大学、中国科技大学、中台科技大学、台南应用科技大学、远东科技大学、元培科技大学、景文科技大学、中华医事科技大学、东南科技大学、德明财经科技大学、南开科技大学、中华科技大学、侨光科技大学、育达商业科技大学、美和科技大学、吴凤科技大学、环球科技大学、中州科技大学、修平科技大学、长庚科技大学、台北城市科技大学、大华科技大学、醒吾科技大学、屏东商业技术学院、台北商业技术学院、台湾戏曲学院、文藻外语学院、大汉技术学院、慈济技术学院、永达技术学院、和春技术学院、致理技术学院、亚东技术学院、桃园创新技术学院、德霖技术学院、南荣技术学院、兰阳技术学院、黎明技术学院、东方设计学院、经国管理暨健康学院、崇右技术学院、大同技术学院、亚太创意技术学院、高凤数位内容学院、华夏技术学院、台湾观光学院、台北海洋技术学院、台南护理专科学校、台东专科学校、康宁医护暨管理专科学校、马偕医护管理专科学校、仁德医护管理专科学校、树人医护管理专科学校、慈惠医护管理专科学校、耕莘健康管理专科学校、敏惠医护管理专科学校、高美医护管理专科学校、育英医护管理专科学校、崇仁医护管理专科学校、圣母医护管理专科学校、新生医护管理专科学校；</w:t>
      </w:r>
    </w:p>
    <w:p w14:paraId="5986C789">
      <w:pPr>
        <w:rPr>
          <w:highlight w:val="none"/>
        </w:rPr>
      </w:pPr>
      <w:r>
        <w:rPr>
          <w:rFonts w:hint="eastAsia" w:ascii="楷体_GB2312" w:eastAsia="楷体_GB2312"/>
          <w:b/>
          <w:szCs w:val="32"/>
          <w:highlight w:val="none"/>
        </w:rPr>
        <w:t>海外地区：</w:t>
      </w:r>
      <w:r>
        <w:rPr>
          <w:rFonts w:hint="eastAsia" w:ascii="仿宋_GB2312"/>
          <w:szCs w:val="32"/>
          <w:highlight w:val="none"/>
        </w:rPr>
        <w:t>上海交通大学高等教育研究院《世界大学学术排名》或泰晤士报《全球顶尖大学排行榜》排名前</w:t>
      </w:r>
      <w:r>
        <w:rPr>
          <w:rFonts w:ascii="仿宋_GB2312"/>
          <w:szCs w:val="32"/>
          <w:highlight w:val="none"/>
        </w:rPr>
        <w:t>150名的境外大学，限申报年度最新排名。</w:t>
      </w:r>
    </w:p>
    <w:p w14:paraId="083E21F0">
      <w:pPr>
        <w:rPr>
          <w:highlight w:val="none"/>
        </w:rPr>
      </w:pPr>
    </w:p>
    <w:p w14:paraId="41BA6F2E"/>
    <w:p w14:paraId="27946860"/>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D90A">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85103144"/>
                          </w:sdtPr>
                          <w:sdtEndPr>
                            <w:rPr>
                              <w:rFonts w:asciiTheme="minorEastAsia" w:hAnsiTheme="minorEastAsia"/>
                              <w:sz w:val="28"/>
                              <w:szCs w:val="28"/>
                            </w:rPr>
                          </w:sdtEndPr>
                          <w:sdtContent>
                            <w:p w14:paraId="0B9F5C9F">
                              <w:pPr>
                                <w:pStyle w:val="3"/>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14:paraId="450A1198">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185103144"/>
                    </w:sdtPr>
                    <w:sdtEndPr>
                      <w:rPr>
                        <w:rFonts w:asciiTheme="minorEastAsia" w:hAnsiTheme="minorEastAsia"/>
                        <w:sz w:val="28"/>
                        <w:szCs w:val="28"/>
                      </w:rPr>
                    </w:sdtEndPr>
                    <w:sdtContent>
                      <w:p w14:paraId="0B9F5C9F">
                        <w:pPr>
                          <w:pStyle w:val="3"/>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w:t>
                        </w:r>
                      </w:p>
                    </w:sdtContent>
                  </w:sdt>
                  <w:p w14:paraId="450A1198">
                    <w:pPr>
                      <w:pStyle w:val="2"/>
                    </w:pPr>
                  </w:p>
                </w:txbxContent>
              </v:textbox>
            </v:shape>
          </w:pict>
        </mc:Fallback>
      </mc:AlternateContent>
    </w:r>
  </w:p>
  <w:p w14:paraId="5501C0A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2D65">
    <w:pPr>
      <w:pStyle w:val="3"/>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A9963">
                          <w:pPr>
                            <w:pStyle w:val="3"/>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1A9963">
                    <w:pPr>
                      <w:pStyle w:val="3"/>
                    </w:pPr>
                    <w:r>
                      <w:rPr>
                        <w:rFonts w:hint="eastAsia" w:asciiTheme="minorEastAsia" w:hAnsiTheme="minorEastAsia"/>
                        <w:sz w:val="28"/>
                        <w:szCs w:val="28"/>
                      </w:rPr>
                      <w:t>-</w:t>
                    </w:r>
                    <w:sdt>
                      <w:sdtPr>
                        <w:rPr>
                          <w:rFonts w:asciiTheme="minorEastAsia" w:hAnsiTheme="minorEastAsia"/>
                          <w:sz w:val="28"/>
                          <w:szCs w:val="28"/>
                        </w:rPr>
                        <w:id w:val="-68729764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w:t>
                        </w:r>
                      </w:sdtContent>
                    </w:sdt>
                  </w:p>
                </w:txbxContent>
              </v:textbox>
            </v:shape>
          </w:pict>
        </mc:Fallback>
      </mc:AlternateContent>
    </w:r>
  </w:p>
  <w:p w14:paraId="3DAD4EA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E591E"/>
    <w:rsid w:val="3BDE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2025-01-10T06:52:00Z</dcterms:created>
  <dc:creator>梁上绿萝</dc:creator>
  <cp:lastModifiedBy>梁上绿萝</cp:lastModifiedBy>
  <dcterms:modified xsi:type="dcterms:W3CDTF">2025-01-10T06:53:08Z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7F461FA43E3E47B68A83ACE3E35AA80E_11</vt:lpwstr>
  </property>
  <property fmtid="{D5CDD505-2E9C-101B-9397-08002B2CF9AE}" pid="4" name="KSOTemplateDocerSaveRecord">
    <vt:lpwstr>eyJoZGlkIjoiZDQ2MjNjZDRiMTc1MTlmMzlkZGI4OTRkNmNjMzFkMjYiLCJ1c2VySWQiOiI0MDc3MTgwODkifQ==</vt:lpwstr>
  </property>
</Properties>
</file>